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C7" w:rsidRPr="00612D4E" w:rsidRDefault="002263C7" w:rsidP="002263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2D4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263C7" w:rsidRDefault="002263C7" w:rsidP="002263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77C">
        <w:rPr>
          <w:rFonts w:ascii="Times New Roman" w:hAnsi="Times New Roman" w:cs="Times New Roman"/>
          <w:b/>
          <w:sz w:val="32"/>
          <w:szCs w:val="32"/>
        </w:rPr>
        <w:t xml:space="preserve">Сведения о категориях граждан, обратившихся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Pr="001D277C">
        <w:rPr>
          <w:rFonts w:ascii="Times New Roman" w:hAnsi="Times New Roman" w:cs="Times New Roman"/>
          <w:b/>
          <w:sz w:val="32"/>
          <w:szCs w:val="32"/>
        </w:rPr>
        <w:t>депутатам Государственного Совета</w:t>
      </w:r>
    </w:p>
    <w:p w:rsidR="002263C7" w:rsidRPr="001D277C" w:rsidRDefault="002263C7" w:rsidP="002263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626B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578E4">
        <w:rPr>
          <w:rFonts w:ascii="Times New Roman" w:hAnsi="Times New Roman" w:cs="Times New Roman"/>
          <w:b/>
          <w:sz w:val="32"/>
          <w:szCs w:val="32"/>
        </w:rPr>
        <w:t xml:space="preserve"> полугодии </w:t>
      </w:r>
      <w:r w:rsidRPr="00626BC6">
        <w:rPr>
          <w:rFonts w:ascii="Times New Roman" w:hAnsi="Times New Roman" w:cs="Times New Roman"/>
          <w:b/>
          <w:sz w:val="32"/>
          <w:szCs w:val="32"/>
        </w:rPr>
        <w:t>201</w:t>
      </w:r>
      <w:r>
        <w:rPr>
          <w:rFonts w:ascii="Times New Roman" w:hAnsi="Times New Roman" w:cs="Times New Roman"/>
          <w:b/>
          <w:sz w:val="32"/>
          <w:szCs w:val="32"/>
        </w:rPr>
        <w:t>8 года</w:t>
      </w:r>
    </w:p>
    <w:p w:rsidR="002263C7" w:rsidRDefault="002263C7" w:rsidP="002263C7">
      <w:pPr>
        <w:rPr>
          <w:rFonts w:ascii="Times New Roman" w:hAnsi="Times New Roman" w:cs="Times New Roman"/>
          <w:b/>
          <w:sz w:val="28"/>
          <w:szCs w:val="28"/>
        </w:rPr>
      </w:pPr>
      <w:r w:rsidRPr="0044560A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8"/>
          <w:szCs w:val="28"/>
        </w:rPr>
        <w:t>5360</w:t>
      </w:r>
      <w:r w:rsidRPr="0044560A">
        <w:rPr>
          <w:rFonts w:ascii="Times New Roman" w:hAnsi="Times New Roman" w:cs="Times New Roman"/>
          <w:b/>
          <w:sz w:val="28"/>
          <w:szCs w:val="28"/>
        </w:rPr>
        <w:t xml:space="preserve"> обращений, из них:</w:t>
      </w:r>
    </w:p>
    <w:p w:rsidR="00F06E96" w:rsidRDefault="00B22856">
      <w:r w:rsidRPr="00B22856">
        <w:drawing>
          <wp:inline distT="0" distB="0" distL="0" distR="0">
            <wp:extent cx="9267825" cy="506730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06E96" w:rsidSect="002263C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3C7"/>
    <w:rsid w:val="002263C7"/>
    <w:rsid w:val="00375AA8"/>
    <w:rsid w:val="0042572A"/>
    <w:rsid w:val="00AB6B1E"/>
    <w:rsid w:val="00B22856"/>
    <w:rsid w:val="00F0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1697725731168192"/>
          <c:y val="0.14314516129032279"/>
          <c:w val="0.75242614591459989"/>
          <c:h val="0.72446236559139721"/>
        </c:manualLayout>
      </c:layout>
      <c:pie3DChart>
        <c:varyColors val="1"/>
        <c:ser>
          <c:idx val="1"/>
          <c:order val="1"/>
          <c:dLbls>
            <c:dLbl>
              <c:idx val="0"/>
              <c:layout>
                <c:manualLayout>
                  <c:x val="-0.2893571037433270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 участники Великой Отечественной войны, боевых действий и локальных конфликтов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166 (3,1%)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7.9486071435315192E-2"/>
                  <c:y val="-5.368804208115960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Вдовы участников Великой Отечественной войны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48 (0,9%)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1263559680939163"/>
                  <c:y val="-0.11667541557305337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Труженики тыла, ветераны труда и пенсионеры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1058 (19,7%)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7.6523456150714972E-2"/>
                  <c:y val="-0.27415594655606323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 дети-инвалиды 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309 (5,8%)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9.3906606997866265E-3"/>
                  <c:y val="-9.5433662897400989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Дети -сироты и дети,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оставшиеся без попечения родителей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68 (1,3%)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9.403894657052761E-2"/>
                  <c:y val="-1.083114610673665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Молодые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193  (3,6%)</a:t>
                    </a: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8.0074774825808645E-2"/>
                  <c:y val="7.1249581456638914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Многодетные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222 (4,1%)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3.3432763350624339E-2"/>
                  <c:y val="7.115625978851408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Безработные и временно неработающие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280 (5,2%)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7.5984602644093943E-2"/>
                  <c:y val="4.270503224134020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Другие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 льготные</a:t>
                    </a:r>
                  </a:p>
                  <a:p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категории</a:t>
                    </a:r>
                  </a:p>
                  <a:p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70 (1,3%)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9"/>
              <c:layout>
                <c:manualLayout>
                  <c:x val="-1.4834440658946409E-2"/>
                  <c:y val="8.381524677836323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Не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льготные категории</a:t>
                    </a:r>
                  </a:p>
                  <a:p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2946 (55%)</a:t>
                    </a:r>
                    <a:r>
                      <a:rPr lang="en-US"/>
                      <a:t>
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Лист4!$A$1:$A$10</c:f>
              <c:numCache>
                <c:formatCode>General</c:formatCode>
                <c:ptCount val="10"/>
                <c:pt idx="0">
                  <c:v>166</c:v>
                </c:pt>
                <c:pt idx="1">
                  <c:v>48</c:v>
                </c:pt>
                <c:pt idx="2">
                  <c:v>1058</c:v>
                </c:pt>
                <c:pt idx="3">
                  <c:v>309</c:v>
                </c:pt>
                <c:pt idx="4">
                  <c:v>68</c:v>
                </c:pt>
                <c:pt idx="5">
                  <c:v>222</c:v>
                </c:pt>
                <c:pt idx="6">
                  <c:v>193</c:v>
                </c:pt>
                <c:pt idx="7">
                  <c:v>280</c:v>
                </c:pt>
                <c:pt idx="8">
                  <c:v>70</c:v>
                </c:pt>
                <c:pt idx="9">
                  <c:v>2946</c:v>
                </c:pt>
              </c:numCache>
            </c:numRef>
          </c:val>
        </c:ser>
        <c:ser>
          <c:idx val="0"/>
          <c:order val="0"/>
          <c:dLbls>
            <c:dLbl>
              <c:idx val="0"/>
              <c:layout>
                <c:manualLayout>
                  <c:x val="-0.2283603977490556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 участники Великой Отечественной войны, боевых действий и локальных конфликтов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166 (3,1%)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0.21810439170078219"/>
                  <c:y val="-2.124833997343961E-4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Вдовы участников Великой Отечественной войны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48 (0,9%)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17932198209646696"/>
                  <c:y val="5.487195574656749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Труженики тыла, ветераны труда и пенсионеры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1058 (19,7%)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8.3720707026024202E-2"/>
                  <c:y val="-0.13041858811473284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Инвалиды и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 дети-инвалиды 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309 (5,8%)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6.095469424851014E-2"/>
                  <c:y val="-7.18241992659284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Дети -сироты и дети,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оставшиеся без попечения родителей </a:t>
                    </a:r>
                  </a:p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68 (1,3%)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5.0716221759307775E-2"/>
                  <c:y val="2.696447804582197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Многодетные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222 (4,1%)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6"/>
              <c:layout>
                <c:manualLayout>
                  <c:x val="1.1697725731168203E-2"/>
                  <c:y val="3.335424705377966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Молодые семьи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193 (3,6%)</a:t>
                    </a:r>
                  </a:p>
                </c:rich>
              </c:tx>
              <c:showCatName val="1"/>
              <c:showPercent val="1"/>
            </c:dLbl>
            <c:dLbl>
              <c:idx val="7"/>
              <c:layout>
                <c:manualLayout>
                  <c:x val="-3.0634184005855245E-2"/>
                  <c:y val="5.3422425782434564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Безработные и временно неработающие</a:t>
                    </a:r>
                    <a:b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280 (5,2%)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dLbl>
              <c:idx val="8"/>
              <c:layout>
                <c:manualLayout>
                  <c:x val="-7.131686680125153E-2"/>
                  <c:y val="-0.12570923654463531"/>
                </c:manualLayout>
              </c:layout>
              <c:tx>
                <c:rich>
                  <a:bodyPr/>
                  <a:lstStyle/>
                  <a:p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Другие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/>
                    </a:r>
                    <a:b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2946  (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 sz="1000" b="0" i="0" baseline="0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r>
                      <a:rPr lang="ru-RU" sz="1000" b="0" i="0" baseline="0">
                        <a:latin typeface="Times New Roman" pitchFamily="18" charset="0"/>
                        <a:cs typeface="Times New Roman" pitchFamily="18" charset="0"/>
                      </a:rPr>
                      <a:t>)</a:t>
                    </a:r>
                    <a:endParaRPr lang="en-US" sz="1000" b="0" i="0" baseline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Лист4!$A$1:$A$9</c:f>
              <c:numCache>
                <c:formatCode>General</c:formatCode>
                <c:ptCount val="9"/>
                <c:pt idx="0">
                  <c:v>166</c:v>
                </c:pt>
                <c:pt idx="1">
                  <c:v>48</c:v>
                </c:pt>
                <c:pt idx="2">
                  <c:v>1058</c:v>
                </c:pt>
                <c:pt idx="3">
                  <c:v>309</c:v>
                </c:pt>
                <c:pt idx="4">
                  <c:v>68</c:v>
                </c:pt>
                <c:pt idx="5">
                  <c:v>222</c:v>
                </c:pt>
                <c:pt idx="6">
                  <c:v>193</c:v>
                </c:pt>
                <c:pt idx="7">
                  <c:v>280</c:v>
                </c:pt>
                <c:pt idx="8">
                  <c:v>70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2018-07-03T07:08:00Z</dcterms:created>
  <dcterms:modified xsi:type="dcterms:W3CDTF">2018-07-03T09:46:00Z</dcterms:modified>
</cp:coreProperties>
</file>